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8850C7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 w:rsidR="000E18D1"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F470DE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2015-2020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за 201</w:t>
      </w:r>
      <w:r w:rsidR="008850C7">
        <w:rPr>
          <w:rFonts w:ascii="Times New Roman" w:hAnsi="Times New Roman" w:cs="Times New Roman"/>
          <w:sz w:val="28"/>
          <w:szCs w:val="28"/>
        </w:rPr>
        <w:t>9</w:t>
      </w:r>
      <w:r w:rsidR="000E18D1">
        <w:rPr>
          <w:rFonts w:ascii="Times New Roman" w:hAnsi="Times New Roman" w:cs="Times New Roman"/>
          <w:sz w:val="28"/>
          <w:szCs w:val="28"/>
        </w:rPr>
        <w:t xml:space="preserve"> год</w:t>
      </w:r>
      <w:r w:rsidR="009032DA" w:rsidRPr="00F47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0E18D1">
        <w:rPr>
          <w:rFonts w:ascii="Times New Roman" w:hAnsi="Times New Roman" w:cs="Times New Roman"/>
          <w:sz w:val="28"/>
          <w:szCs w:val="28"/>
        </w:rPr>
        <w:t>201</w:t>
      </w:r>
      <w:r w:rsidR="008850C7">
        <w:rPr>
          <w:rFonts w:ascii="Times New Roman" w:hAnsi="Times New Roman" w:cs="Times New Roman"/>
          <w:sz w:val="28"/>
          <w:szCs w:val="28"/>
        </w:rPr>
        <w:t>9</w:t>
      </w:r>
      <w:r w:rsidR="000E18D1">
        <w:rPr>
          <w:rFonts w:ascii="Times New Roman" w:hAnsi="Times New Roman" w:cs="Times New Roman"/>
          <w:sz w:val="28"/>
          <w:szCs w:val="28"/>
        </w:rPr>
        <w:t xml:space="preserve"> год</w:t>
      </w:r>
      <w:r w:rsidR="000E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74001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74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B25618">
        <w:rPr>
          <w:rFonts w:ascii="Times New Roman" w:hAnsi="Times New Roman" w:cs="Times New Roman"/>
          <w:sz w:val="28"/>
          <w:szCs w:val="28"/>
        </w:rPr>
        <w:t>1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8115F0" w:rsidRPr="008115F0" w:rsidRDefault="008115F0" w:rsidP="008115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от </w:t>
      </w:r>
      <w:r w:rsidR="008850C7">
        <w:rPr>
          <w:rFonts w:ascii="Times New Roman" w:hAnsi="Times New Roman" w:cs="Times New Roman"/>
          <w:sz w:val="28"/>
          <w:szCs w:val="28"/>
        </w:rPr>
        <w:t>21</w:t>
      </w:r>
      <w:r w:rsidRPr="008115F0">
        <w:rPr>
          <w:rFonts w:ascii="Times New Roman" w:hAnsi="Times New Roman" w:cs="Times New Roman"/>
          <w:sz w:val="28"/>
          <w:szCs w:val="28"/>
        </w:rPr>
        <w:t>.</w:t>
      </w:r>
      <w:r w:rsidR="000E18D1">
        <w:rPr>
          <w:rFonts w:ascii="Times New Roman" w:hAnsi="Times New Roman" w:cs="Times New Roman"/>
          <w:sz w:val="28"/>
          <w:szCs w:val="28"/>
        </w:rPr>
        <w:t>01</w:t>
      </w:r>
      <w:r w:rsidR="008850C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F0">
        <w:rPr>
          <w:rFonts w:ascii="Times New Roman" w:hAnsi="Times New Roman" w:cs="Times New Roman"/>
          <w:sz w:val="28"/>
          <w:szCs w:val="28"/>
        </w:rPr>
        <w:t xml:space="preserve"> N </w:t>
      </w:r>
      <w:r w:rsidR="008850C7">
        <w:rPr>
          <w:rFonts w:ascii="Times New Roman" w:hAnsi="Times New Roman" w:cs="Times New Roman"/>
          <w:sz w:val="28"/>
          <w:szCs w:val="28"/>
        </w:rPr>
        <w:t>18</w:t>
      </w:r>
    </w:p>
    <w:p w:rsidR="00B25618" w:rsidRDefault="00B25618" w:rsidP="00811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на 2015-2020 годы» </w:t>
      </w:r>
    </w:p>
    <w:p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F0" w:rsidRDefault="008115F0" w:rsidP="00B25618">
      <w:pPr>
        <w:pStyle w:val="a4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0E18D1">
        <w:rPr>
          <w:rFonts w:ascii="Times New Roman" w:hAnsi="Times New Roman" w:cs="Times New Roman"/>
          <w:sz w:val="28"/>
          <w:szCs w:val="28"/>
        </w:rPr>
        <w:t>за 201</w:t>
      </w:r>
      <w:r w:rsidR="008850C7">
        <w:rPr>
          <w:rFonts w:ascii="Times New Roman" w:hAnsi="Times New Roman" w:cs="Times New Roman"/>
          <w:sz w:val="28"/>
          <w:szCs w:val="28"/>
        </w:rPr>
        <w:t>9</w:t>
      </w:r>
      <w:r w:rsidR="000E18D1">
        <w:rPr>
          <w:rFonts w:ascii="Times New Roman" w:hAnsi="Times New Roman" w:cs="Times New Roman"/>
          <w:sz w:val="28"/>
          <w:szCs w:val="28"/>
        </w:rPr>
        <w:t xml:space="preserve"> год</w:t>
      </w:r>
      <w:r w:rsidR="000E18D1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B25618" w:rsidRPr="00422386" w:rsidRDefault="00B25618" w:rsidP="0074001A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утверждена муниципальная программа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2015-2020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поведению,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пропаганды, обеспечение прозрачности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25618" w:rsidRPr="0074001A" w:rsidRDefault="00B25618" w:rsidP="0074001A">
      <w:pPr>
        <w:shd w:val="clear" w:color="auto" w:fill="FFFFFF"/>
        <w:spacing w:after="16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8115F0" w:rsidRPr="007F5B3B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8115F0" w:rsidRPr="008115F0" w:rsidRDefault="008115F0" w:rsidP="007400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 (</w:t>
      </w: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>) (процентов).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в 2015 - 2020 годах (процентов), показатель, который рассчитывается по формуле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в 2015-2020 годах (человек).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2014 году с проявлениями коррупции в Кугейском сельском поселении  (0,0 процента):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и П2 определяется по итогам 2020 года и по формуле: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+ Эп2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:rsidR="008115F0" w:rsidRPr="008115F0" w:rsidRDefault="008115F0" w:rsidP="00811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>, Эп2 - эффективность реализации П1 и П2 показателей.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:rsidR="008115F0" w:rsidRPr="008115F0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:rsidR="008115F0" w:rsidRDefault="008115F0" w:rsidP="007400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:rsidR="006721F2" w:rsidRPr="0074001A" w:rsidRDefault="006721F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</w:p>
    <w:p w:rsidR="00E34C05" w:rsidRPr="0074001A" w:rsidRDefault="00E34C05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:rsidR="00AD24B5" w:rsidRDefault="00E34C05" w:rsidP="00AD24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4B5"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24B5" w:rsidRPr="0074001A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</w:t>
      </w:r>
    </w:p>
    <w:p w:rsidR="00AD24B5" w:rsidRDefault="00AD24B5" w:rsidP="00AD24B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 xml:space="preserve">в Кугейском сельском поселении </w:t>
      </w:r>
    </w:p>
    <w:p w:rsidR="0074001A" w:rsidRPr="0074001A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01A">
        <w:rPr>
          <w:rFonts w:ascii="Times New Roman" w:hAnsi="Times New Roman" w:cs="Times New Roman"/>
          <w:b/>
          <w:sz w:val="28"/>
          <w:szCs w:val="28"/>
        </w:rPr>
        <w:t>на 2015-2020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01A" w:rsidRPr="000E18D1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2015-2020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>за 201</w:t>
      </w:r>
      <w:r w:rsidR="008850C7">
        <w:rPr>
          <w:rFonts w:ascii="Times New Roman" w:hAnsi="Times New Roman" w:cs="Times New Roman"/>
          <w:b/>
          <w:sz w:val="28"/>
          <w:szCs w:val="28"/>
        </w:rPr>
        <w:t>9</w:t>
      </w:r>
      <w:r w:rsidR="000E18D1" w:rsidRPr="000E18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3479"/>
        <w:gridCol w:w="2013"/>
        <w:gridCol w:w="2111"/>
        <w:gridCol w:w="1657"/>
      </w:tblGrid>
      <w:tr w:rsidR="00B652DD" w:rsidRPr="00422386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A4E10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001A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D4850" w:rsidRDefault="008850C7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01A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001A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DD4850" w:rsidRDefault="008850C7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386" w:rsidRPr="00B652DD" w:rsidRDefault="0074001A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комиссии по соблюдению требований к служебному поведению муниципальных  служащих Администрации Кугейского сельского поселения и урегулированию конфликта интересов:</w:t>
            </w:r>
          </w:p>
          <w:p w:rsidR="00DA4E10" w:rsidRPr="00DD4850" w:rsidRDefault="00DA4E10" w:rsidP="009458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D4850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:rsidR="00DA4E10" w:rsidRPr="00DD4850" w:rsidRDefault="00DA4E10" w:rsidP="00945841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DD4850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74001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D485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D485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DA4E10" w:rsidRPr="00B652DD" w:rsidRDefault="00DA4E10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D485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муниципальной службы Администрации Кугейского сельского поселения с учетом требований </w:t>
            </w:r>
            <w:proofErr w:type="spell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Федерации. Подготовка предложений по осуществлению ротации муниципальных служащих в  Администрации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AD24B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D4850" w:rsidP="00B652D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4E10"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</w:t>
            </w:r>
          </w:p>
          <w:p w:rsidR="00DA4E10" w:rsidRPr="00DD4850" w:rsidRDefault="00DA4E10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C59F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DD485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10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DD4850" w:rsidRDefault="00DA4E10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E10" w:rsidRPr="00B652DD" w:rsidRDefault="00DA4E10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 антикоррупционной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Проведение анализа актов прокурорского реагирования, поступивших на правовые акты Администрации Кугейского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DD4850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3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a7"/>
              <w:spacing w:before="40" w:beforeAutospacing="0" w:after="40" w:afterAutospacing="0"/>
            </w:pPr>
            <w:r w:rsidRPr="00DD4850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2DD" w:rsidRPr="00B652DD" w:rsidRDefault="0037051F" w:rsidP="00DD485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2DD" w:rsidRPr="00DD4850" w:rsidRDefault="00F33B15" w:rsidP="008850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DD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33B15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DD4850" w:rsidRDefault="00F33B15" w:rsidP="00945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предоставлению</w:t>
            </w:r>
            <w:r w:rsidRPr="00DD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муниципальных услуг.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3B15" w:rsidRPr="00B652DD" w:rsidRDefault="00F33B15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B652DD" w:rsidRPr="00B652DD" w:rsidTr="00B652DD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2DD" w:rsidRPr="00B652DD" w:rsidRDefault="00B652DD" w:rsidP="0037051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2DD" w:rsidRPr="00DD4850" w:rsidRDefault="00B652DD" w:rsidP="00945841">
            <w:pPr>
              <w:pStyle w:val="a7"/>
              <w:spacing w:before="40" w:beforeAutospacing="0" w:after="40" w:afterAutospacing="0"/>
            </w:pPr>
            <w:r w:rsidRPr="00DD4850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2DD" w:rsidRPr="00B652DD" w:rsidRDefault="00B652DD" w:rsidP="0094584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p w:rsidR="0074001A" w:rsidRPr="00B652DD" w:rsidRDefault="0074001A" w:rsidP="0074001A">
      <w:pPr>
        <w:rPr>
          <w:rFonts w:ascii="Times New Roman" w:hAnsi="Times New Roman" w:cs="Times New Roman"/>
          <w:sz w:val="24"/>
          <w:szCs w:val="24"/>
        </w:rPr>
      </w:pPr>
    </w:p>
    <w:p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37ED6"/>
    <w:rsid w:val="000C1548"/>
    <w:rsid w:val="000E18D1"/>
    <w:rsid w:val="0012071A"/>
    <w:rsid w:val="0012136E"/>
    <w:rsid w:val="0014299B"/>
    <w:rsid w:val="0021782A"/>
    <w:rsid w:val="0031220B"/>
    <w:rsid w:val="00320791"/>
    <w:rsid w:val="00332A46"/>
    <w:rsid w:val="0037051F"/>
    <w:rsid w:val="00395B2C"/>
    <w:rsid w:val="003E4B49"/>
    <w:rsid w:val="0042368B"/>
    <w:rsid w:val="00464920"/>
    <w:rsid w:val="0048504C"/>
    <w:rsid w:val="00505835"/>
    <w:rsid w:val="005E2EDD"/>
    <w:rsid w:val="006721F2"/>
    <w:rsid w:val="00706384"/>
    <w:rsid w:val="00712A7A"/>
    <w:rsid w:val="0074001A"/>
    <w:rsid w:val="00744FBD"/>
    <w:rsid w:val="008115F0"/>
    <w:rsid w:val="008850C7"/>
    <w:rsid w:val="009032DA"/>
    <w:rsid w:val="00A30B62"/>
    <w:rsid w:val="00A576AA"/>
    <w:rsid w:val="00AC103A"/>
    <w:rsid w:val="00AD24B5"/>
    <w:rsid w:val="00B25618"/>
    <w:rsid w:val="00B4780D"/>
    <w:rsid w:val="00B62B68"/>
    <w:rsid w:val="00B652DD"/>
    <w:rsid w:val="00BB2551"/>
    <w:rsid w:val="00BC5AD6"/>
    <w:rsid w:val="00C646A5"/>
    <w:rsid w:val="00C75987"/>
    <w:rsid w:val="00CB59BA"/>
    <w:rsid w:val="00DA4E10"/>
    <w:rsid w:val="00DD4850"/>
    <w:rsid w:val="00E06BF2"/>
    <w:rsid w:val="00E34C05"/>
    <w:rsid w:val="00E965FC"/>
    <w:rsid w:val="00F33B15"/>
    <w:rsid w:val="00F402DA"/>
    <w:rsid w:val="00F4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2</cp:revision>
  <cp:lastPrinted>2020-06-09T08:08:00Z</cp:lastPrinted>
  <dcterms:created xsi:type="dcterms:W3CDTF">2020-06-09T08:09:00Z</dcterms:created>
  <dcterms:modified xsi:type="dcterms:W3CDTF">2020-06-09T08:09:00Z</dcterms:modified>
</cp:coreProperties>
</file>